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Abilităţi digitale pentru incluziune: integrarea adulților vulnerabili pe piața muncii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Profesor educație timpurie Tahir Luiza Veronica </w:t>
      </w:r>
    </w:p>
    <w:p w:rsidR="00000000" w:rsidDel="00000000" w:rsidP="00000000" w:rsidRDefault="00000000" w:rsidRPr="00000000" w14:paraId="00000005">
      <w:pPr>
        <w:rPr/>
      </w:pPr>
      <w:r w:rsidDel="00000000" w:rsidR="00000000" w:rsidRPr="00000000">
        <w:rPr>
          <w:rtl w:val="0"/>
        </w:rPr>
        <w:t xml:space="preserve">Grădinița cu P.P. “ Phoenix “, Craiova, Dolj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„Abilități digitale pentru incluziune: integrarea adulților vulnerabili pe piața muncii” este un subiect extrem de relevant în contextul digitalizării și al nevoii de integrare socială și profesională. Se referă la dezvoltarea competențelor digitale pentru persoanele aflate în situații vulnerabile, astfel încât acestea să poată accesa oportunități de angajare și să se adapteze la cerințele pieței muncii moderne.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Aspecte cheie ale acestui subiect: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1. Definirea adulților vulnerabili</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Persoane cu dizabilități</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Șomeri de lungă durată</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Persoane cu un nivel scăzut de educație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Adulți din medii defavorizate sau zone rurale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Migranți și refugiați</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2. Importanța abilităților digitale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Acces la locuri de muncă online și remote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Creșterea șanselor de angajare în diverse domenii</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Îmbunătățirea competențelor necesare pentru economia digitală</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Facilitarea accesului la informații și servicii esențiale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3. Programe și inițiative pentru formare digitală</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Cursuri de bază: utilizarea calculatorului, e-mail, internet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Training-uri pentru competențe avansate: programare, marketing digital</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Sprijin din partea ONG-urilor, instituțiilor publice și companiilor private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Platforme online gratuite pentru auto-învățare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4. Provocări și soluții</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Acces limitat la tehnologie → Oferirea de dispozitive și conexiune la internet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Reticență față de tehnologie → Sesiuni interactive și mentorat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Nevoia de recunoaștere a competențelor → Acreditări și certificări digitale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Această inițiativă poate contribui semnificativ la reducerea excluziunii sociale și la creșterea incluziunii economice prin digitalizare.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_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