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A934E">
      <w:pPr>
        <w:keepNext w:val="0"/>
        <w:keepLines w:val="0"/>
        <w:widowControl/>
        <w:suppressLineNumbers w:val="0"/>
        <w:shd w:val="clear" w:fill="FFFFFF"/>
        <w:spacing w:before="0" w:beforeAutospacing="0" w:after="0" w:afterAutospacing="0" w:line="270" w:lineRule="atLeast"/>
        <w:ind w:left="0" w:right="0" w:firstLine="0"/>
        <w:jc w:val="center"/>
        <w:rPr>
          <w:rFonts w:hint="default" w:ascii="Times New Roman" w:hAnsi="Times New Roman" w:eastAsia="Tahoma" w:cs="Times New Roman"/>
          <w:b/>
          <w:bCs/>
          <w:i w:val="0"/>
          <w:iCs w:val="0"/>
          <w:caps w:val="0"/>
          <w:color w:val="000000"/>
          <w:spacing w:val="0"/>
          <w:kern w:val="0"/>
          <w:sz w:val="28"/>
          <w:szCs w:val="28"/>
          <w:shd w:val="clear" w:fill="FFFFFF"/>
          <w:lang w:val="ro-RO" w:eastAsia="zh-CN" w:bidi="ar"/>
        </w:rPr>
      </w:pPr>
      <w:r>
        <w:rPr>
          <w:rFonts w:hint="default" w:ascii="Times New Roman" w:hAnsi="Times New Roman" w:eastAsia="Tahoma" w:cs="Times New Roman"/>
          <w:b/>
          <w:bCs/>
          <w:i w:val="0"/>
          <w:iCs w:val="0"/>
          <w:caps w:val="0"/>
          <w:color w:val="000000"/>
          <w:spacing w:val="0"/>
          <w:kern w:val="0"/>
          <w:sz w:val="28"/>
          <w:szCs w:val="28"/>
          <w:shd w:val="clear" w:fill="FFFFFF"/>
          <w:lang w:val="en-GB" w:eastAsia="zh-CN" w:bidi="ar"/>
        </w:rPr>
        <w:t>EDUCA</w:t>
      </w:r>
      <w:r>
        <w:rPr>
          <w:rFonts w:hint="default" w:ascii="Times New Roman" w:hAnsi="Times New Roman" w:eastAsia="Tahoma" w:cs="Times New Roman"/>
          <w:b/>
          <w:bCs/>
          <w:i w:val="0"/>
          <w:iCs w:val="0"/>
          <w:caps w:val="0"/>
          <w:color w:val="000000"/>
          <w:spacing w:val="0"/>
          <w:kern w:val="0"/>
          <w:sz w:val="28"/>
          <w:szCs w:val="28"/>
          <w:shd w:val="clear" w:fill="FFFFFF"/>
          <w:lang w:val="ro-RO" w:eastAsia="zh-CN" w:bidi="ar"/>
        </w:rPr>
        <w:t>ȚIA INCLUZIVA ÎN GRĂDINIȚĂ</w:t>
      </w:r>
    </w:p>
    <w:p w14:paraId="7370277E">
      <w:pPr>
        <w:keepNext w:val="0"/>
        <w:keepLines w:val="0"/>
        <w:widowControl/>
        <w:suppressLineNumbers w:val="0"/>
        <w:shd w:val="clear" w:fill="FFFFFF"/>
        <w:spacing w:before="0" w:beforeAutospacing="0" w:after="0" w:afterAutospacing="0" w:line="270" w:lineRule="atLeast"/>
        <w:ind w:left="0" w:right="0" w:firstLine="0"/>
        <w:jc w:val="center"/>
        <w:rPr>
          <w:rFonts w:hint="default" w:ascii="Times New Roman" w:hAnsi="Times New Roman" w:eastAsia="Tahoma" w:cs="Times New Roman"/>
          <w:b/>
          <w:bCs/>
          <w:i w:val="0"/>
          <w:iCs w:val="0"/>
          <w:caps w:val="0"/>
          <w:color w:val="000000"/>
          <w:spacing w:val="0"/>
          <w:kern w:val="0"/>
          <w:sz w:val="28"/>
          <w:szCs w:val="28"/>
          <w:shd w:val="clear" w:fill="FFFFFF"/>
          <w:lang w:val="ro-RO" w:eastAsia="zh-CN" w:bidi="ar"/>
        </w:rPr>
      </w:pPr>
    </w:p>
    <w:p w14:paraId="7228F3A2">
      <w:pPr>
        <w:keepNext w:val="0"/>
        <w:keepLines w:val="0"/>
        <w:widowControl/>
        <w:suppressLineNumbers w:val="0"/>
        <w:shd w:val="clear" w:fill="FFFFFF"/>
        <w:spacing w:before="0" w:beforeAutospacing="0" w:after="0" w:afterAutospacing="0" w:line="270" w:lineRule="atLeast"/>
        <w:ind w:left="0" w:right="0" w:firstLine="0"/>
        <w:jc w:val="center"/>
        <w:rPr>
          <w:rFonts w:hint="default" w:ascii="Times New Roman" w:hAnsi="Times New Roman" w:eastAsia="Tahoma" w:cs="Times New Roman"/>
          <w:b/>
          <w:bCs/>
          <w:i w:val="0"/>
          <w:iCs w:val="0"/>
          <w:caps w:val="0"/>
          <w:color w:val="000000"/>
          <w:spacing w:val="0"/>
          <w:kern w:val="0"/>
          <w:sz w:val="28"/>
          <w:szCs w:val="28"/>
          <w:shd w:val="clear" w:fill="FFFFFF"/>
          <w:lang w:val="ro-RO" w:eastAsia="zh-CN" w:bidi="ar"/>
        </w:rPr>
      </w:pPr>
    </w:p>
    <w:p w14:paraId="26717550">
      <w:pPr>
        <w:spacing w:line="360" w:lineRule="auto"/>
        <w:jc w:val="right"/>
        <w:rPr>
          <w:rFonts w:hint="default" w:ascii="Times New Roman" w:hAnsi="Times New Roman" w:cs="Times New Roman"/>
          <w:b/>
          <w:bCs/>
          <w:sz w:val="24"/>
          <w:szCs w:val="24"/>
          <w:lang w:val="ro-RO"/>
        </w:rPr>
      </w:pPr>
      <w:bookmarkStart w:id="0" w:name="_GoBack"/>
      <w:bookmarkEnd w:id="0"/>
      <w:r>
        <w:rPr>
          <w:rFonts w:hint="default" w:ascii="Times New Roman" w:hAnsi="Times New Roman" w:cs="Times New Roman"/>
          <w:b/>
          <w:bCs/>
          <w:sz w:val="24"/>
          <w:szCs w:val="24"/>
          <w:lang w:val="ro-RO"/>
        </w:rPr>
        <w:t>Ciobotea Mădălina-Angela</w:t>
      </w:r>
    </w:p>
    <w:p w14:paraId="136B803C">
      <w:pPr>
        <w:spacing w:line="360" w:lineRule="auto"/>
        <w:jc w:val="right"/>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Școala Profesională Daneți,Dolj</w:t>
      </w:r>
    </w:p>
    <w:p w14:paraId="2726CCBE">
      <w:pPr>
        <w:keepNext w:val="0"/>
        <w:keepLines w:val="0"/>
        <w:widowControl/>
        <w:suppressLineNumbers w:val="0"/>
        <w:shd w:val="clear" w:fill="FFFFFF"/>
        <w:spacing w:before="0" w:beforeAutospacing="0" w:after="0" w:afterAutospacing="0" w:line="270" w:lineRule="atLeast"/>
        <w:ind w:left="0" w:right="0" w:firstLine="0"/>
        <w:jc w:val="both"/>
        <w:rPr>
          <w:rFonts w:hint="default" w:ascii="Times New Roman" w:hAnsi="Times New Roman" w:eastAsia="Tahoma" w:cs="Times New Roman"/>
          <w:i w:val="0"/>
          <w:iCs w:val="0"/>
          <w:caps w:val="0"/>
          <w:color w:val="000000"/>
          <w:spacing w:val="0"/>
          <w:kern w:val="0"/>
          <w:sz w:val="24"/>
          <w:szCs w:val="24"/>
          <w:shd w:val="clear" w:fill="FFFFFF"/>
          <w:lang w:val="ro-RO" w:eastAsia="zh-CN" w:bidi="ar"/>
        </w:rPr>
      </w:pPr>
    </w:p>
    <w:p w14:paraId="5DAA535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bidi="ar"/>
        </w:rPr>
      </w:pPr>
    </w:p>
    <w:p w14:paraId="3E677D9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 xml:space="preserve">Toți copiii sunt diferiți, speciali și au nevoi diferite, indiferent dacă sunt sau nu copii cu handicap. Toți copiii au dreptul la o educație care să le satisfacă nevoile. Educația incluzivă se bazează pe principiul fundamental al educației pentru toți și de către toți. Este o viziune și o realitate care capătă amploare și se materializează în experiențe și bune practici de integrare/incluziune. </w:t>
      </w:r>
    </w:p>
    <w:p w14:paraId="65276FB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ro-RO"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Educația incluzivă este o educație de înaltă calitate, accesibilă și care îndeplinește obiectivul de a ajunge la toți copiii fără discriminare. În întreaga lume, din ce în ce mai mulți copii din medii defavorizate sunt înscriși în grădinițe, școli primare și secundare, iar în majoritatea țărilor este obligatoriu prin lege ca toți copiii să beneficieze de educație. Grupul Român pentru Educație Incluzivă (GREI) are ca obiectiv general conectarea României la eforturile internaționale pentru realizarea educației incluzive, susținerea și dezvoltarea modelului românesc și promovarea acestuia la nivel național și european</w:t>
      </w:r>
      <w:r>
        <w:rPr>
          <w:rFonts w:hint="default" w:ascii="Times New Roman" w:hAnsi="Times New Roman" w:eastAsia="Tahoma" w:cs="Times New Roman"/>
          <w:i w:val="0"/>
          <w:iCs w:val="0"/>
          <w:caps w:val="0"/>
          <w:color w:val="000000"/>
          <w:spacing w:val="0"/>
          <w:kern w:val="0"/>
          <w:sz w:val="24"/>
          <w:szCs w:val="24"/>
          <w:shd w:val="clear" w:fill="FFFFFF"/>
          <w:lang w:val="ro-RO" w:eastAsia="zh-CN"/>
        </w:rPr>
        <w:t>.</w:t>
      </w:r>
    </w:p>
    <w:p w14:paraId="1D25A01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 xml:space="preserve">În acest sens, educația incluzivă vizează reabilitarea și formarea persoanelor cu nevoi speciale care au dificultăți psihomotorii, intelectuale, lingvistice, psiho-comportamentale și senzoriale printr-o serie de măsuri juridice, politice, sociale și pedagogice. </w:t>
      </w:r>
    </w:p>
    <w:p w14:paraId="21B5044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ro-RO"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În pedagogia contemporană, există un interes puternic pentru găsirea celor mai bune căi și mijloace de a oferi intervenții educaționale de la o vârstă fragedă pentru o gamă cât mai largă de copii. Prin urmare, este necesar să se formeze și să se dezvolte conștiința copiilor de la o vârstă cât mai fragedă. Primirea copiilor „diferiți” alături de toți ceilalți copii nu ar trebui să se facă în primul rând de dragul lor și nici din milă pentru ei. Raportul susține că incluziunea merge dincolo de discursurile demagogice și declarative și poate fi practicată prin formarea și dezvoltarea conștiinței tuturor copiilor cu privire la necesitatea de a îmbrățișa diversitatea de toate tipurile, prin tehnici educaționale specifice și prin adaptarea la programele de învățământ individuale. Grădinițele își propun să creeze programe coerente și coordonate pentru a găzdui copiii preșcolari cu diferite dizabilități, alte etnii, medii sociale etc. și pentru a-i pregăti pe ceilalți copii să îi accepte alături de ei, fără diferențe de comportament sau manifestări verbale</w:t>
      </w:r>
      <w:r>
        <w:rPr>
          <w:rFonts w:hint="default" w:ascii="Times New Roman" w:hAnsi="Times New Roman" w:eastAsia="Tahoma" w:cs="Times New Roman"/>
          <w:i w:val="0"/>
          <w:iCs w:val="0"/>
          <w:caps w:val="0"/>
          <w:color w:val="000000"/>
          <w:spacing w:val="0"/>
          <w:kern w:val="0"/>
          <w:sz w:val="24"/>
          <w:szCs w:val="24"/>
          <w:shd w:val="clear" w:fill="FFFFFF"/>
          <w:lang w:val="ro-RO" w:eastAsia="zh-CN"/>
        </w:rPr>
        <w:t>.</w:t>
      </w:r>
    </w:p>
    <w:p w14:paraId="28B1505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ro-RO"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De asemenea, necesită punerea în aplicare a unor strategii coerente pentru a dezvolta conștiința și comportamentul copiilor într-un spirit de toleranță și nediscriminare și pentru a îmbrățișa egalitatea de șanse pentru toți copiii. Integrarea/incluziunea se bazează pe existența unui cadru legal flexibil și realist, pe interesul și motivația cadrelor didactice din școlile generale și speciale, pe acceptarea și sprijinul părinților copiilor integrați, pe implicarea societății civile în general, pe toleranța și respectul față de copiii cu probleme și pe relațiile care se formează și se dezvoltă în clasele incluzive</w:t>
      </w:r>
      <w:r>
        <w:rPr>
          <w:rFonts w:hint="default" w:ascii="Times New Roman" w:hAnsi="Times New Roman" w:eastAsia="Tahoma" w:cs="Times New Roman"/>
          <w:i w:val="0"/>
          <w:iCs w:val="0"/>
          <w:caps w:val="0"/>
          <w:color w:val="000000"/>
          <w:spacing w:val="0"/>
          <w:kern w:val="0"/>
          <w:sz w:val="24"/>
          <w:szCs w:val="24"/>
          <w:shd w:val="clear" w:fill="FFFFFF"/>
          <w:lang w:val="ro-RO" w:eastAsia="zh-CN"/>
        </w:rPr>
        <w:t>.</w:t>
      </w:r>
    </w:p>
    <w:p w14:paraId="2EA9393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 xml:space="preserve">O condiție esențială pentru succesul acțiunii comune a celor trei factori pozitivi în grădinițe este deschiderea, deschiderea și existența unor relații de înțelegere și constructive bazate pe un „pozitivism” specific, susținut de voință și credință. Educatoarele trebuie să cunoască dizabilitățile copiilor din grupa lor pentru a putea înțelege și modela activitățile lor în funcție de nevoile copiilor. </w:t>
      </w:r>
    </w:p>
    <w:p w14:paraId="109773F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 xml:space="preserve">Grupurile în care sunt integrați copii cu nevoi speciale trebuie să primească informații despre copiii cu nevoi speciale într-o manieră corectă și pozitivă. Este esențială sensibilizarea copiilor și pregătirea lor pentru a-i primi pe colegii lor cu dizabilități. Sensibilizarea are loc prin stimulare. </w:t>
      </w:r>
    </w:p>
    <w:p w14:paraId="3B6BA8E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 xml:space="preserve">Prin crearea și aplicarea de jocuri care pot stimula handicapul (motor, vizual, auditiv), copiii pot înțelege mai bine situația persoanelor cu handicap. Atunci când un copil cu nevoi educaționale speciale este primit în grup, atitudinile față de acesta ar trebui să fie normale și el ar trebui să fie tratat în același mod ca ceilalți copii din grup. Comportamentul și atitudinea profesorului trebuie să demonstreze celorlalți copii că preșcolarul cu handicap este apreciat. </w:t>
      </w:r>
    </w:p>
    <w:p w14:paraId="7AC874F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bidi="ar"/>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Prin urmare, profesorul trebuie să exprime așteptări similare și să stabilească limite de învățare similare celor ale celorlalți copii din grup. Profesorul trebuie să își asume rolul de moderator, să încurajeze contactul direct cu copiii din grup și să direcționeze întrebările și comentariile acestora către copiii cu nevoi educaționale speciale. De asemenea, ar trebui să încurajeze și să stimuleze copiii atunci când este necesar, să le ofere încredere în forțele proprii și în acțiunile lor reușite, să evidențieze abilitățile și interesele lor speciale și să implice familiile în dezvoltarea și susținerea lor.</w:t>
      </w:r>
    </w:p>
    <w:p w14:paraId="5A3E677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 xml:space="preserve"> Copiii cu nevoi educaționale speciale integrați în programul grădiniței necesită cooperarea cu succes a educatorilor din grădiniță, a părinților, a psihologilor și a logopedilor. Părinții sunt parteneri în educație deoarece ei dețin cele mai multe informații despre copiii lor. Relația de parteneriat dintre părinți și grădinițe include nu numai informarea părinților cu privire la programele de grup, conținutul și metodele de predare, ci și întâlniri cu părinții, expoziții, excursii, târguri și vizite, la care participă și copiii lor. </w:t>
      </w:r>
    </w:p>
    <w:p w14:paraId="5570F7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 xml:space="preserve">Această relație dintre grădinițe și părinții copiilor cu cerințe educaționale speciale este necesară și benefică pentru a oferi informații cu privire la natura specifică a handicapului copilului lor preșcolar și la stadiul de dezvoltare al acestuia. De asemenea, părinții informează grădinița cu privire la factorii de influență negativă care trebuie evitați (fobii, disconfort, stimuli negativi, atitudini care determină inhibarea/izolarea copilului). </w:t>
      </w:r>
    </w:p>
    <w:p w14:paraId="400C51D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Tahoma" w:cs="Times New Roman"/>
          <w:i w:val="0"/>
          <w:iCs w:val="0"/>
          <w:caps w:val="0"/>
          <w:color w:val="000000"/>
          <w:spacing w:val="0"/>
          <w:kern w:val="0"/>
          <w:sz w:val="24"/>
          <w:szCs w:val="24"/>
          <w:shd w:val="clear" w:fill="FFFFFF"/>
          <w:lang w:val="en-US" w:eastAsia="zh-CN" w:bidi="ar"/>
        </w:rPr>
      </w:pPr>
      <w:r>
        <w:rPr>
          <w:rFonts w:hint="default" w:ascii="Times New Roman" w:hAnsi="Times New Roman" w:eastAsia="Tahoma" w:cs="Times New Roman"/>
          <w:i w:val="0"/>
          <w:iCs w:val="0"/>
          <w:caps w:val="0"/>
          <w:color w:val="000000"/>
          <w:spacing w:val="0"/>
          <w:kern w:val="0"/>
          <w:sz w:val="24"/>
          <w:szCs w:val="24"/>
          <w:shd w:val="clear" w:fill="FFFFFF"/>
          <w:lang w:val="en-US" w:eastAsia="zh-CN"/>
        </w:rPr>
        <w:t>Implicarea și responsabilitatea familiei pentru dezvoltarea copilului este fundamentală pentru participarea cu succes la programul educațional al grădiniței. Pentru orice copil, dar mai ales pentru copiii cu dizabilități, gradul de interes și cooperare al părinților față de grădiniță este în mare parte proporțional cu rezultatele obținute de aceștia. Acesta este motivul pentru care familia este primul educator și are cel mai mare potențial ca model.</w:t>
      </w:r>
    </w:p>
    <w:p w14:paraId="16317EEE">
      <w:pPr>
        <w:keepNext w:val="0"/>
        <w:keepLines w:val="0"/>
        <w:widowControl/>
        <w:suppressLineNumbers w:val="0"/>
        <w:shd w:val="clear" w:fill="FFFFFF"/>
        <w:spacing w:before="0" w:beforeAutospacing="0" w:after="0" w:afterAutospacing="0" w:line="270" w:lineRule="atLeast"/>
        <w:ind w:left="0" w:right="0" w:firstLine="0"/>
        <w:jc w:val="both"/>
        <w:rPr>
          <w:rFonts w:hint="default" w:ascii="Times New Roman" w:hAnsi="Times New Roman" w:eastAsia="Tahoma" w:cs="Times New Roman"/>
          <w:i w:val="0"/>
          <w:iCs w:val="0"/>
          <w:caps w:val="0"/>
          <w:color w:val="000000"/>
          <w:spacing w:val="0"/>
          <w:kern w:val="0"/>
          <w:sz w:val="24"/>
          <w:szCs w:val="24"/>
          <w:shd w:val="clear" w:fill="FFFFFF"/>
          <w:lang w:val="en-US" w:eastAsia="zh-CN" w:bidi="ar"/>
        </w:rPr>
      </w:pPr>
    </w:p>
    <w:p w14:paraId="23E1B4F9">
      <w:pPr>
        <w:keepNext w:val="0"/>
        <w:keepLines w:val="0"/>
        <w:widowControl/>
        <w:suppressLineNumbers w:val="0"/>
        <w:shd w:val="clear" w:fill="FFFFFF"/>
        <w:spacing w:before="0" w:beforeAutospacing="0" w:after="0" w:afterAutospacing="0" w:line="270" w:lineRule="atLeast"/>
        <w:ind w:left="0" w:right="0" w:firstLine="0"/>
        <w:jc w:val="both"/>
        <w:rPr>
          <w:rFonts w:hint="default" w:ascii="Times New Roman" w:hAnsi="Times New Roman" w:eastAsia="Tahoma" w:cs="Times New Roman"/>
          <w:i w:val="0"/>
          <w:iCs w:val="0"/>
          <w:caps w:val="0"/>
          <w:color w:val="222222"/>
          <w:spacing w:val="0"/>
          <w:sz w:val="24"/>
          <w:szCs w:val="24"/>
        </w:rPr>
      </w:pPr>
    </w:p>
    <w:p w14:paraId="50963B09">
      <w:pPr>
        <w:keepNext w:val="0"/>
        <w:keepLines w:val="0"/>
        <w:widowControl/>
        <w:suppressLineNumbers w:val="0"/>
        <w:shd w:val="clear" w:fill="FFFFFF"/>
        <w:spacing w:before="0" w:beforeAutospacing="0" w:after="0" w:afterAutospacing="0" w:line="270" w:lineRule="atLeast"/>
        <w:ind w:left="0" w:right="0" w:firstLine="720"/>
        <w:jc w:val="both"/>
        <w:rPr>
          <w:rFonts w:hint="default" w:ascii="Times New Roman" w:hAnsi="Times New Roman" w:eastAsia="Tahoma" w:cs="Times New Roman"/>
          <w:i w:val="0"/>
          <w:iCs w:val="0"/>
          <w:caps w:val="0"/>
          <w:color w:val="222222"/>
          <w:spacing w:val="0"/>
          <w:sz w:val="24"/>
          <w:szCs w:val="24"/>
        </w:rPr>
      </w:pPr>
      <w:r>
        <w:rPr>
          <w:rStyle w:val="5"/>
          <w:rFonts w:hint="default" w:ascii="Times New Roman" w:hAnsi="Times New Roman" w:eastAsia="Tahoma" w:cs="Times New Roman"/>
          <w:i w:val="0"/>
          <w:iCs w:val="0"/>
          <w:caps w:val="0"/>
          <w:color w:val="000000"/>
          <w:spacing w:val="0"/>
          <w:kern w:val="0"/>
          <w:sz w:val="24"/>
          <w:szCs w:val="24"/>
          <w:shd w:val="clear" w:fill="FFFFFF"/>
          <w:lang w:val="en-US" w:eastAsia="zh-CN" w:bidi="ar"/>
        </w:rPr>
        <w:t>Bibliografie:</w:t>
      </w:r>
    </w:p>
    <w:p w14:paraId="19D53FFE">
      <w:pPr>
        <w:keepNext w:val="0"/>
        <w:keepLines w:val="0"/>
        <w:widowControl/>
        <w:numPr>
          <w:ilvl w:val="0"/>
          <w:numId w:val="1"/>
        </w:numPr>
        <w:suppressLineNumbers w:val="0"/>
        <w:shd w:val="clear" w:fill="FFFFFF"/>
        <w:spacing w:before="0" w:beforeAutospacing="0" w:after="0" w:afterAutospacing="0" w:line="270" w:lineRule="atLeast"/>
        <w:ind w:left="420" w:leftChars="0" w:right="0" w:hanging="420" w:firstLineChars="0"/>
        <w:jc w:val="both"/>
        <w:rPr>
          <w:rFonts w:hint="default" w:ascii="Times New Roman" w:hAnsi="Times New Roman" w:eastAsia="Tahoma" w:cs="Times New Roman"/>
          <w:i w:val="0"/>
          <w:iCs w:val="0"/>
          <w:caps w:val="0"/>
          <w:color w:val="000000"/>
          <w:spacing w:val="0"/>
          <w:kern w:val="0"/>
          <w:sz w:val="24"/>
          <w:szCs w:val="24"/>
          <w:shd w:val="clear" w:fill="FFFFFF"/>
          <w:lang w:val="en-US" w:eastAsia="zh-CN" w:bidi="ar"/>
        </w:rPr>
      </w:pPr>
      <w:r>
        <w:rPr>
          <w:rStyle w:val="4"/>
          <w:rFonts w:hint="default" w:ascii="Times New Roman" w:hAnsi="Times New Roman" w:eastAsia="Tahoma" w:cs="Times New Roman"/>
          <w:i w:val="0"/>
          <w:iCs w:val="0"/>
          <w:caps w:val="0"/>
          <w:color w:val="000000"/>
          <w:spacing w:val="0"/>
          <w:kern w:val="0"/>
          <w:sz w:val="24"/>
          <w:szCs w:val="24"/>
          <w:shd w:val="clear" w:fill="FFFFFF"/>
          <w:lang w:val="en-US" w:eastAsia="zh-CN" w:bidi="ar"/>
        </w:rPr>
        <w:t>Ecaterina Vrăşmaş-,, Educaţia copilului preşcolar”,</w:t>
      </w:r>
      <w:r>
        <w:rPr>
          <w:rFonts w:hint="default" w:ascii="Times New Roman" w:hAnsi="Times New Roman" w:eastAsia="Tahoma" w:cs="Times New Roman"/>
          <w:i w:val="0"/>
          <w:iCs w:val="0"/>
          <w:caps w:val="0"/>
          <w:color w:val="000000"/>
          <w:spacing w:val="0"/>
          <w:kern w:val="0"/>
          <w:sz w:val="24"/>
          <w:szCs w:val="24"/>
          <w:shd w:val="clear" w:fill="FFFFFF"/>
          <w:lang w:val="en-US" w:eastAsia="zh-CN" w:bidi="ar"/>
        </w:rPr>
        <w:t> Editura ProHumanitas, Bucureşti, 1999;</w:t>
      </w:r>
    </w:p>
    <w:p w14:paraId="471C2BC1">
      <w:pPr>
        <w:keepNext w:val="0"/>
        <w:keepLines w:val="0"/>
        <w:widowControl/>
        <w:numPr>
          <w:ilvl w:val="0"/>
          <w:numId w:val="1"/>
        </w:numPr>
        <w:suppressLineNumbers w:val="0"/>
        <w:shd w:val="clear" w:fill="FFFFFF"/>
        <w:spacing w:before="0" w:beforeAutospacing="0" w:after="0" w:afterAutospacing="0" w:line="270" w:lineRule="atLeast"/>
        <w:ind w:left="420" w:leftChars="0" w:right="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Ghergut, Sinteze de psihopedagogie speciala, Editura Polirom, 2005</w:t>
      </w:r>
    </w:p>
    <w:p w14:paraId="36738266">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8B0E0"/>
    <w:multiLevelType w:val="singleLevel"/>
    <w:tmpl w:val="74F8B0E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B45EE"/>
    <w:rsid w:val="50DB4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2025-02-19T06:57:00Z</dcterms:created>
  <dc:creator>User</dc:creator>
  <cp:lastModifiedBy>User</cp:lastModifiedBy>
  <dcterms:modified xsi:type="dcterms:W3CDTF">2025-02-19T08:08:40Z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748846C882B84B208D287ED7602A6258_11</vt:lpwstr>
  </property>
</Properties>
</file>