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BA55F" w14:textId="6179BC96" w:rsidR="002742BF" w:rsidRDefault="002742BF" w:rsidP="002742B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2BF">
        <w:rPr>
          <w:rFonts w:ascii="Times New Roman" w:hAnsi="Times New Roman" w:cs="Times New Roman"/>
          <w:b/>
          <w:bCs/>
          <w:sz w:val="28"/>
          <w:szCs w:val="28"/>
        </w:rPr>
        <w:t>COMPETENȚE DIGITALE ȘI INTEGRAREA ADULȚILOR VULNERABILI PE PIAȚA MUNCII</w:t>
      </w:r>
    </w:p>
    <w:p w14:paraId="1644AA13" w14:textId="31967F9F" w:rsidR="002742BF" w:rsidRDefault="002742BF" w:rsidP="002742B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6D646C" w14:textId="77777777" w:rsidR="002742BF" w:rsidRPr="008832EA" w:rsidRDefault="002742BF" w:rsidP="002742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B2544E" w14:textId="77777777" w:rsidR="002742BF" w:rsidRPr="008832EA" w:rsidRDefault="002742BF" w:rsidP="002742B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832EA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883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EA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883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EA">
        <w:rPr>
          <w:rFonts w:ascii="Times New Roman" w:hAnsi="Times New Roman" w:cs="Times New Roman"/>
          <w:sz w:val="24"/>
          <w:szCs w:val="24"/>
        </w:rPr>
        <w:t>Timpurie</w:t>
      </w:r>
      <w:proofErr w:type="spellEnd"/>
      <w:r w:rsidRPr="00883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EA">
        <w:rPr>
          <w:rFonts w:ascii="Times New Roman" w:hAnsi="Times New Roman" w:cs="Times New Roman"/>
          <w:sz w:val="24"/>
          <w:szCs w:val="24"/>
        </w:rPr>
        <w:t>Raicea</w:t>
      </w:r>
      <w:proofErr w:type="spellEnd"/>
      <w:r w:rsidRPr="00883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EA">
        <w:rPr>
          <w:rFonts w:ascii="Times New Roman" w:hAnsi="Times New Roman" w:cs="Times New Roman"/>
          <w:sz w:val="24"/>
          <w:szCs w:val="24"/>
        </w:rPr>
        <w:t>Andreea</w:t>
      </w:r>
      <w:proofErr w:type="spellEnd"/>
      <w:r w:rsidRPr="00883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EA">
        <w:rPr>
          <w:rFonts w:ascii="Times New Roman" w:hAnsi="Times New Roman" w:cs="Times New Roman"/>
          <w:sz w:val="24"/>
          <w:szCs w:val="24"/>
        </w:rPr>
        <w:t>Denisa</w:t>
      </w:r>
      <w:proofErr w:type="spellEnd"/>
    </w:p>
    <w:p w14:paraId="065922B6" w14:textId="77777777" w:rsidR="002742BF" w:rsidRPr="008832EA" w:rsidRDefault="002742BF" w:rsidP="002742B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832EA">
        <w:rPr>
          <w:rFonts w:ascii="Times New Roman" w:hAnsi="Times New Roman" w:cs="Times New Roman"/>
          <w:sz w:val="24"/>
          <w:szCs w:val="24"/>
        </w:rPr>
        <w:t>Grădinița</w:t>
      </w:r>
      <w:proofErr w:type="spellEnd"/>
      <w:r w:rsidRPr="008832EA">
        <w:rPr>
          <w:rFonts w:ascii="Times New Roman" w:hAnsi="Times New Roman" w:cs="Times New Roman"/>
          <w:sz w:val="24"/>
          <w:szCs w:val="24"/>
        </w:rPr>
        <w:t xml:space="preserve"> nr 222 Sector 1 </w:t>
      </w:r>
      <w:proofErr w:type="spellStart"/>
      <w:r w:rsidRPr="008832EA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14:paraId="75AAC50F" w14:textId="77777777" w:rsidR="002742BF" w:rsidRDefault="002742BF" w:rsidP="002742B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41F666" w14:textId="77777777" w:rsidR="002742BF" w:rsidRPr="002742BF" w:rsidRDefault="002742BF" w:rsidP="002742B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FD97B" w14:textId="68376E34" w:rsidR="002742BF" w:rsidRPr="002742BF" w:rsidRDefault="002742BF" w:rsidP="002742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42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contemporană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competențele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un factor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esențial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piața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tehnologică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rapidă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transformat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impunând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cunoștințe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avansate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instrumentelor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incluziunea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grupurilor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strâns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legată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capacitarea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digitală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. Din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motiv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integrarea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adulților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vulnerabili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piața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adoptarea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eficiente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competențelor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>.</w:t>
      </w:r>
    </w:p>
    <w:p w14:paraId="52A70C5D" w14:textId="77777777" w:rsidR="002742BF" w:rsidRPr="002742BF" w:rsidRDefault="002742BF" w:rsidP="002742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42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plus,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digitalizării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tehnologie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un lux, ci o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necesitate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fundamentală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activă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abilități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riscă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marginalizate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limitându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-le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șansele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obține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un loc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a-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îmbunătăți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vieții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imperativ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inițiativele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educaționale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includă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preveni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excluderea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economică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>.</w:t>
      </w:r>
    </w:p>
    <w:p w14:paraId="47BF23F4" w14:textId="361F7E55" w:rsidR="002742BF" w:rsidRPr="002742BF" w:rsidRDefault="002742BF" w:rsidP="00274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Ȋn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2742BF">
        <w:rPr>
          <w:rFonts w:ascii="Times New Roman" w:hAnsi="Times New Roman" w:cs="Times New Roman"/>
          <w:sz w:val="24"/>
          <w:szCs w:val="24"/>
        </w:rPr>
        <w:t>mportanța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competențelor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integrarea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afirma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2742B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rând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competențele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facilitează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variate,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permi</w:t>
      </w:r>
      <w:r>
        <w:rPr>
          <w:rFonts w:ascii="Times New Roman" w:hAnsi="Times New Roman" w:cs="Times New Roman"/>
          <w:sz w:val="24"/>
          <w:szCs w:val="24"/>
        </w:rPr>
        <w:t>ţ</w:t>
      </w:r>
      <w:r w:rsidRPr="002742BF">
        <w:rPr>
          <w:rFonts w:ascii="Times New Roman" w:hAnsi="Times New Roman" w:cs="Times New Roman"/>
          <w:sz w:val="24"/>
          <w:szCs w:val="24"/>
        </w:rPr>
        <w:t>ând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indivizilor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utilizeze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platforme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căutarea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job,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CV digital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interviuri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virtuale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contribuie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productivității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eficienței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esențiale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aproape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>.</w:t>
      </w:r>
    </w:p>
    <w:p w14:paraId="60762054" w14:textId="725133A2" w:rsidR="002742BF" w:rsidRPr="002742BF" w:rsidRDefault="002742BF" w:rsidP="002742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2BF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beneficii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competențele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oferă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oportunitatea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lucra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distanță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un aspect tot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relevant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economia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modernă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Angajatorii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pun un accent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deosebit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angajaților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colabora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virtual, de 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folosi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software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specializat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naviga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eficient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digital.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abilități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devine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crucială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incluziv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adaptabil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schimbările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tehnologice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continue.</w:t>
      </w:r>
    </w:p>
    <w:p w14:paraId="6AD24506" w14:textId="7F868F61" w:rsidR="002742BF" w:rsidRPr="002742BF" w:rsidRDefault="002742BF" w:rsidP="002742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Ȋ</w:t>
      </w:r>
      <w:r w:rsidRPr="002742B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doilea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rând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>, grupurile vulnerabile, precum persoanele cu un nivel scăzut de educație, persoanele cu dizabilități sau cele aflate în șom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pe termen lung, se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confruntă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cu multiple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bariere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adoptarea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competențelor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includ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tehnologie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deficitul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competențe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platformelor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reticență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schimbările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tehnologice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.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factorii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socio-economici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influențează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semnificativ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educaționale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>.</w:t>
      </w:r>
    </w:p>
    <w:p w14:paraId="16AE586B" w14:textId="421ECA38" w:rsidR="002742BF" w:rsidRPr="002742BF" w:rsidRDefault="002742BF" w:rsidP="002742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2BF">
        <w:rPr>
          <w:rFonts w:ascii="Times New Roman" w:hAnsi="Times New Roman" w:cs="Times New Roman"/>
          <w:sz w:val="24"/>
          <w:szCs w:val="24"/>
        </w:rPr>
        <w:t xml:space="preserve">Un alt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obstacol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major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suportului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adecvat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învățarea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digitală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rândul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adulților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vulnerabili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mentorat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adaptate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nevoilor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lor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îngreunează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adaptare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pieței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context,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esențial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dezvoltate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politici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faciliteze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digitală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reducă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inegalitățile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>.</w:t>
      </w:r>
    </w:p>
    <w:p w14:paraId="0842BB93" w14:textId="6469C6B9" w:rsidR="002742BF" w:rsidRPr="002742BF" w:rsidRDefault="002742BF" w:rsidP="002742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2BF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meu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sprijini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integrarea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adulților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vulnerabili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piața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adaptate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nevoilor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includă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cursuri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calculatorului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internetului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instruire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aplicațiilor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lastRenderedPageBreak/>
        <w:t>parteneriatele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instituțiile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educaționale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autoritățile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facilita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oportunități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angajare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>.</w:t>
      </w:r>
    </w:p>
    <w:p w14:paraId="61B1275E" w14:textId="48F99640" w:rsidR="002742BF" w:rsidRPr="002742BF" w:rsidRDefault="002742BF" w:rsidP="002742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42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plus,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esențial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creeze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digitală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accesibile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comunități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dezavantajate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adulții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vulnerabili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poată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beneficia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instruire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gratuită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costuri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reduse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învățare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metodelor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pedagogice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moderne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cum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învățarea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joc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facilita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asimilare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>.</w:t>
      </w:r>
    </w:p>
    <w:p w14:paraId="7A7B01CB" w14:textId="38D52391" w:rsidR="002742BF" w:rsidRPr="002742BF" w:rsidRDefault="002742BF" w:rsidP="002742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Incluziunea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digitală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un element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esențial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integrarea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socio-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adulților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vulnerabili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competențelor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fie o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prioritate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politicile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angajatori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organizațiile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educaționale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.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imperativ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eforturi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sprijinite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inițiative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concrete care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reducă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decalajul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ofere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șanse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egale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indivizilor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piața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>.</w:t>
      </w:r>
    </w:p>
    <w:p w14:paraId="5C00BFA8" w14:textId="77777777" w:rsidR="002742BF" w:rsidRPr="002742BF" w:rsidRDefault="002742BF" w:rsidP="002742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42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lumina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guvernele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organizațiile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guvernamentale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colaboreze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oferi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soluții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sustenabile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eficiente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adaptate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diferitelor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niveluri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integrare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ușoară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succes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adulților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vulnerabili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piața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>.</w:t>
      </w:r>
    </w:p>
    <w:p w14:paraId="23C57410" w14:textId="77777777" w:rsidR="002742BF" w:rsidRPr="002742BF" w:rsidRDefault="002742BF" w:rsidP="002742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025018" w14:textId="77777777" w:rsidR="002742BF" w:rsidRPr="002742BF" w:rsidRDefault="002742BF" w:rsidP="002742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742BF">
        <w:rPr>
          <w:rFonts w:ascii="Times New Roman" w:hAnsi="Times New Roman" w:cs="Times New Roman"/>
          <w:b/>
          <w:bCs/>
          <w:sz w:val="24"/>
          <w:szCs w:val="24"/>
        </w:rPr>
        <w:t>Bibliografie</w:t>
      </w:r>
      <w:proofErr w:type="spellEnd"/>
    </w:p>
    <w:p w14:paraId="18C79119" w14:textId="77777777" w:rsidR="002742BF" w:rsidRPr="002742BF" w:rsidRDefault="002742BF" w:rsidP="002742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EAE0F0" w14:textId="3C8C674E" w:rsidR="002742BF" w:rsidRPr="002742BF" w:rsidRDefault="002742BF" w:rsidP="002742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742BF">
        <w:rPr>
          <w:rFonts w:ascii="Times New Roman" w:hAnsi="Times New Roman" w:cs="Times New Roman"/>
          <w:sz w:val="24"/>
          <w:szCs w:val="24"/>
        </w:rPr>
        <w:t>European Commission. (2021)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2BF">
        <w:rPr>
          <w:rFonts w:ascii="Times New Roman" w:hAnsi="Times New Roman" w:cs="Times New Roman"/>
          <w:i/>
          <w:iCs/>
          <w:sz w:val="24"/>
          <w:szCs w:val="24"/>
        </w:rPr>
        <w:t>"The Digital Economy and Society Index (DESI)"</w:t>
      </w:r>
      <w:r w:rsidRPr="002742BF">
        <w:rPr>
          <w:rFonts w:ascii="Times New Roman" w:hAnsi="Times New Roman" w:cs="Times New Roman"/>
          <w:sz w:val="24"/>
          <w:szCs w:val="24"/>
        </w:rPr>
        <w:t>.</w:t>
      </w:r>
    </w:p>
    <w:p w14:paraId="2800A408" w14:textId="21012532" w:rsidR="002742BF" w:rsidRPr="002742BF" w:rsidRDefault="002742BF" w:rsidP="002742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742BF">
        <w:rPr>
          <w:rFonts w:ascii="Times New Roman" w:hAnsi="Times New Roman" w:cs="Times New Roman"/>
          <w:sz w:val="24"/>
          <w:szCs w:val="24"/>
        </w:rPr>
        <w:t xml:space="preserve">OECD. (2020) </w:t>
      </w:r>
      <w:r w:rsidRPr="002742BF">
        <w:rPr>
          <w:rFonts w:ascii="Times New Roman" w:hAnsi="Times New Roman" w:cs="Times New Roman"/>
          <w:i/>
          <w:iCs/>
          <w:sz w:val="24"/>
          <w:szCs w:val="24"/>
        </w:rPr>
        <w:t>"Skills for a Digital World"</w:t>
      </w:r>
    </w:p>
    <w:p w14:paraId="3F6A760C" w14:textId="52480D97" w:rsidR="002742BF" w:rsidRPr="002742BF" w:rsidRDefault="002742BF" w:rsidP="002742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742BF">
        <w:rPr>
          <w:rFonts w:ascii="Times New Roman" w:hAnsi="Times New Roman" w:cs="Times New Roman"/>
          <w:sz w:val="24"/>
          <w:szCs w:val="24"/>
        </w:rPr>
        <w:t xml:space="preserve">World Economic Forum. (2018) </w:t>
      </w:r>
      <w:r w:rsidRPr="002742BF">
        <w:rPr>
          <w:rFonts w:ascii="Times New Roman" w:hAnsi="Times New Roman" w:cs="Times New Roman"/>
          <w:i/>
          <w:iCs/>
          <w:sz w:val="24"/>
          <w:szCs w:val="24"/>
        </w:rPr>
        <w:t>"The Future of Jobs Report"</w:t>
      </w:r>
    </w:p>
    <w:p w14:paraId="723F791B" w14:textId="38D0D6AB" w:rsidR="002742BF" w:rsidRPr="002742BF" w:rsidRDefault="002742BF" w:rsidP="002742B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Protecției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2742BF">
        <w:rPr>
          <w:rFonts w:ascii="Times New Roman" w:hAnsi="Times New Roman" w:cs="Times New Roman"/>
          <w:sz w:val="24"/>
          <w:szCs w:val="24"/>
        </w:rPr>
        <w:t xml:space="preserve">. (2022) </w:t>
      </w:r>
      <w:r w:rsidRPr="002742BF">
        <w:rPr>
          <w:rFonts w:ascii="Times New Roman" w:hAnsi="Times New Roman" w:cs="Times New Roman"/>
          <w:i/>
          <w:iCs/>
          <w:sz w:val="24"/>
          <w:szCs w:val="24"/>
        </w:rPr>
        <w:t>"</w:t>
      </w:r>
      <w:proofErr w:type="spellStart"/>
      <w:r w:rsidRPr="002742BF">
        <w:rPr>
          <w:rFonts w:ascii="Times New Roman" w:hAnsi="Times New Roman" w:cs="Times New Roman"/>
          <w:i/>
          <w:iCs/>
          <w:sz w:val="24"/>
          <w:szCs w:val="24"/>
        </w:rPr>
        <w:t>Strategia</w:t>
      </w:r>
      <w:proofErr w:type="spellEnd"/>
      <w:r w:rsidRPr="002742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i/>
          <w:iCs/>
          <w:sz w:val="24"/>
          <w:szCs w:val="24"/>
        </w:rPr>
        <w:t>Națională</w:t>
      </w:r>
      <w:proofErr w:type="spellEnd"/>
      <w:r w:rsidRPr="002742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2742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i/>
          <w:iCs/>
          <w:sz w:val="24"/>
          <w:szCs w:val="24"/>
        </w:rPr>
        <w:t>Digitalizare</w:t>
      </w:r>
      <w:proofErr w:type="spellEnd"/>
      <w:r w:rsidRPr="002742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2742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42BF">
        <w:rPr>
          <w:rFonts w:ascii="Times New Roman" w:hAnsi="Times New Roman" w:cs="Times New Roman"/>
          <w:i/>
          <w:iCs/>
          <w:sz w:val="24"/>
          <w:szCs w:val="24"/>
        </w:rPr>
        <w:t>Incluziune</w:t>
      </w:r>
      <w:proofErr w:type="spellEnd"/>
      <w:r w:rsidRPr="002742BF">
        <w:rPr>
          <w:rFonts w:ascii="Times New Roman" w:hAnsi="Times New Roman" w:cs="Times New Roman"/>
          <w:i/>
          <w:iCs/>
          <w:sz w:val="24"/>
          <w:szCs w:val="24"/>
        </w:rPr>
        <w:t>"</w:t>
      </w:r>
    </w:p>
    <w:p w14:paraId="2BC88B7D" w14:textId="77777777" w:rsidR="00B47412" w:rsidRPr="002742BF" w:rsidRDefault="00B47412" w:rsidP="002742B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7412" w:rsidRPr="002742BF" w:rsidSect="00907A2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4E"/>
    <w:rsid w:val="002742BF"/>
    <w:rsid w:val="00907A23"/>
    <w:rsid w:val="009B454E"/>
    <w:rsid w:val="00B4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3D32"/>
  <w15:chartTrackingRefBased/>
  <w15:docId w15:val="{8FDEDE89-04DC-4AA1-955A-B5A267E2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765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DenisaR</dc:creator>
  <cp:keywords/>
  <dc:description/>
  <cp:lastModifiedBy>DenisaR</cp:lastModifiedBy>
  <cp:revision>2</cp:revision>
  <dcterms:created xsi:type="dcterms:W3CDTF">2025-02-18T17:30:00Z</dcterms:created>
  <dcterms:modified xsi:type="dcterms:W3CDTF">2025-02-18T17:40:00Z</dcterms:modified>
</cp:coreProperties>
</file>