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6DDD" w14:textId="77777777" w:rsidR="00202C9A" w:rsidRDefault="007D2735" w:rsidP="003C2E8D">
      <w:pPr>
        <w:pStyle w:val="p1"/>
        <w:spacing w:before="0" w:beforeAutospacing="0" w:after="0" w:afterAutospacing="0"/>
        <w:jc w:val="center"/>
        <w:rPr>
          <w:rStyle w:val="s1"/>
          <w:b/>
          <w:bCs/>
          <w:sz w:val="28"/>
          <w:szCs w:val="28"/>
        </w:rPr>
      </w:pPr>
      <w:r w:rsidRPr="00E71209">
        <w:rPr>
          <w:rStyle w:val="s1"/>
          <w:b/>
          <w:bCs/>
          <w:sz w:val="28"/>
          <w:szCs w:val="28"/>
        </w:rPr>
        <w:t>Impactul competențelor digitale</w:t>
      </w:r>
    </w:p>
    <w:p w14:paraId="305E348C" w14:textId="43185F79" w:rsidR="007D2735" w:rsidRPr="00E71209" w:rsidRDefault="007D2735" w:rsidP="003C2E8D">
      <w:pPr>
        <w:pStyle w:val="p1"/>
        <w:spacing w:before="0" w:beforeAutospacing="0" w:after="0" w:afterAutospacing="0"/>
        <w:jc w:val="center"/>
        <w:rPr>
          <w:b/>
          <w:bCs/>
          <w:sz w:val="28"/>
          <w:szCs w:val="28"/>
        </w:rPr>
      </w:pPr>
      <w:r w:rsidRPr="00E71209">
        <w:rPr>
          <w:rStyle w:val="s1"/>
          <w:b/>
          <w:bCs/>
          <w:sz w:val="28"/>
          <w:szCs w:val="28"/>
        </w:rPr>
        <w:t xml:space="preserve"> asupra incluziunii sociale și angajabilității</w:t>
      </w:r>
    </w:p>
    <w:p w14:paraId="0188317A" w14:textId="67BAD804" w:rsidR="007D2735" w:rsidRDefault="007D2735" w:rsidP="0018415D">
      <w:pPr>
        <w:pStyle w:val="p3"/>
        <w:jc w:val="right"/>
      </w:pPr>
    </w:p>
    <w:p w14:paraId="67510CC0" w14:textId="6D35A448" w:rsidR="0018415D" w:rsidRDefault="0018415D" w:rsidP="003C2E8D">
      <w:pPr>
        <w:pStyle w:val="p3"/>
        <w:spacing w:before="0" w:beforeAutospacing="0" w:after="0" w:afterAutospacing="0"/>
        <w:jc w:val="right"/>
      </w:pPr>
      <w:r>
        <w:t xml:space="preserve">Ed. Filip </w:t>
      </w:r>
      <w:r w:rsidR="00202C9A">
        <w:t>Roberta</w:t>
      </w:r>
      <w:r>
        <w:t>-Andreea</w:t>
      </w:r>
    </w:p>
    <w:p w14:paraId="6255BFDB" w14:textId="3198634E" w:rsidR="0018415D" w:rsidRDefault="00202C9A" w:rsidP="003C2E8D">
      <w:pPr>
        <w:pStyle w:val="p3"/>
        <w:spacing w:before="0" w:beforeAutospacing="0" w:after="0" w:afterAutospacing="0"/>
        <w:jc w:val="right"/>
      </w:pPr>
      <w:r>
        <w:t>Grădinița cu P.P “Căsuța cu povești” Craiova</w:t>
      </w:r>
    </w:p>
    <w:p w14:paraId="6339CF6B" w14:textId="705FFD1F" w:rsidR="00202C9A" w:rsidRDefault="00202C9A" w:rsidP="003C2E8D">
      <w:pPr>
        <w:pStyle w:val="p3"/>
        <w:spacing w:before="0" w:beforeAutospacing="0" w:after="0" w:afterAutospacing="0"/>
        <w:jc w:val="right"/>
      </w:pPr>
      <w:r>
        <w:t>Craiova, Dolj, România</w:t>
      </w:r>
    </w:p>
    <w:p w14:paraId="66D98EB1" w14:textId="77777777" w:rsidR="00202C9A" w:rsidRDefault="00202C9A" w:rsidP="0018415D">
      <w:pPr>
        <w:pStyle w:val="p3"/>
        <w:jc w:val="right"/>
      </w:pPr>
    </w:p>
    <w:p w14:paraId="7ECA35D7" w14:textId="4BABA61C" w:rsidR="007D2735" w:rsidRDefault="007D2735" w:rsidP="00355DF6">
      <w:pPr>
        <w:pStyle w:val="p4"/>
        <w:ind w:firstLine="708"/>
        <w:jc w:val="both"/>
      </w:pPr>
      <w:r>
        <w:rPr>
          <w:rStyle w:val="s2"/>
        </w:rPr>
        <w:t>În era digitală contemporană, competențele digitale au devenit esențiale pentru participarea activă în societate și pentru accesul pe piața muncii. Aceste abilități nu doar facilitează integrarea socială, ci și sporesc șansele de angajare și dezvoltare profesională. Acest referat analizează impactul competențelor digitale asupra incluziunii sociale și angajabilității, bazându-se pe surse bibliografice românești și internaționale.</w:t>
      </w:r>
    </w:p>
    <w:p w14:paraId="2E8E361D" w14:textId="61C27E53" w:rsidR="007D2735" w:rsidRDefault="007D2735" w:rsidP="00355DF6">
      <w:pPr>
        <w:pStyle w:val="p4"/>
        <w:ind w:firstLine="708"/>
        <w:jc w:val="both"/>
      </w:pPr>
      <w:r>
        <w:rPr>
          <w:rStyle w:val="s2"/>
        </w:rPr>
        <w:t>Competențele digitale se referă la capacitatea de a utiliza în mod eficient tehnologiile informaționale și de comunicație (TIC) pentru a accesa, gestiona, evalua și crea informații. Acestea includ abilități precum navigarea pe internet, utilizarea aplicațiilor software, comunicarea online și înțelegerea securității cibernetice.</w:t>
      </w:r>
    </w:p>
    <w:p w14:paraId="20F23AD7" w14:textId="3AD9724B" w:rsidR="007D2735" w:rsidRDefault="007D2735" w:rsidP="00355DF6">
      <w:pPr>
        <w:pStyle w:val="p4"/>
        <w:ind w:firstLine="708"/>
        <w:jc w:val="both"/>
      </w:pPr>
      <w:r>
        <w:rPr>
          <w:rStyle w:val="s2"/>
        </w:rPr>
        <w:t>Dezvoltarea competențelor digitale permite indivizilor să acceseze o gamă largă de informații și servicii online, de la educație și sănătate până la servicii guvernamentale. În România, proiecte precum cel al Institutului de Cercetare Făgăraș oferă cursuri gratuite de competențe digitale de bază, ajutând persoanele vulnerabile să navigheze în siguranță pe internet și să utilizeze servicii online esențiale</w:t>
      </w:r>
      <w:r w:rsidR="00D03A00">
        <w:rPr>
          <w:rStyle w:val="apple-converted-space"/>
        </w:rPr>
        <w:t>.</w:t>
      </w:r>
    </w:p>
    <w:p w14:paraId="2C191D48" w14:textId="6B6AB8FF" w:rsidR="007D2735" w:rsidRDefault="007D2735" w:rsidP="00355DF6">
      <w:pPr>
        <w:pStyle w:val="p4"/>
        <w:ind w:firstLine="708"/>
        <w:jc w:val="both"/>
      </w:pPr>
      <w:r>
        <w:rPr>
          <w:rStyle w:val="s2"/>
        </w:rPr>
        <w:t>Competențele digitale facilitează participarea activă în societate prin intermediul platformelor digitale. Ministerul Cercetării, Inovării și Digitalizării subliniază că formarea abilităților digitale ale cetățenilor români îmbunătățește participarea civică prin adoptarea și utilizarea serviciilor guvernamentale digitale</w:t>
      </w:r>
      <w:r w:rsidR="00D03A00">
        <w:rPr>
          <w:rStyle w:val="apple-converted-space"/>
        </w:rPr>
        <w:t>.</w:t>
      </w:r>
    </w:p>
    <w:p w14:paraId="3BAB7B87" w14:textId="15DC79EE" w:rsidR="007D2735" w:rsidRDefault="007D2735" w:rsidP="00355DF6">
      <w:pPr>
        <w:pStyle w:val="p4"/>
        <w:ind w:firstLine="708"/>
        <w:jc w:val="both"/>
      </w:pPr>
      <w:r>
        <w:rPr>
          <w:rStyle w:val="s2"/>
        </w:rPr>
        <w:t>Lipsa competențelor digitale poate accentua inegalitățile sociale, creând o “prăpastie digitală” între cei care au acces la tehnologie și cei care nu au. Studiul “Digitalizarea și adecvarea competențelor ca factori determinanți ai inovării” evidențiază necesitatea dezvoltării competențelor digitale pentru a îmbunătăți setul de abilități și capacitatea de inserție profesională</w:t>
      </w:r>
      <w:r w:rsidR="00D03A00">
        <w:rPr>
          <w:rStyle w:val="apple-converted-space"/>
        </w:rPr>
        <w:t>.</w:t>
      </w:r>
    </w:p>
    <w:p w14:paraId="435A092C" w14:textId="5415CA2D" w:rsidR="007D2735" w:rsidRDefault="007D2735" w:rsidP="00355DF6">
      <w:pPr>
        <w:pStyle w:val="p4"/>
        <w:ind w:firstLine="708"/>
        <w:jc w:val="both"/>
      </w:pPr>
      <w:r>
        <w:rPr>
          <w:rStyle w:val="s2"/>
        </w:rPr>
        <w:t>În contextul transformării digitale, angajatorii caută din ce în ce mai mult candidați cu competențe digitale. Abilitățile digitale sunt esențiale pentru a naviga în medii de lucru remote și pentru a utiliza instrumente tehnologice moderne. De exemplu, angajații cu abilități digitale sunt capabili să învețe rapid noi instrumente și procese, oferind valoare adăugată companiilor</w:t>
      </w:r>
      <w:r w:rsidR="00D03A00">
        <w:rPr>
          <w:rStyle w:val="apple-converted-space"/>
        </w:rPr>
        <w:t>.</w:t>
      </w:r>
    </w:p>
    <w:p w14:paraId="701EAECE" w14:textId="77777777" w:rsidR="007D2735" w:rsidRDefault="007D2735" w:rsidP="00355DF6">
      <w:pPr>
        <w:pStyle w:val="p4"/>
        <w:ind w:firstLine="708"/>
        <w:jc w:val="both"/>
      </w:pPr>
      <w:r>
        <w:rPr>
          <w:rStyle w:val="s2"/>
        </w:rPr>
        <w:t>Pentru a răspunde cerințelor pieței muncii, guvernele și organizațiile implementează programe de formare în competențe digitale. Agenția Națională a Funcționarilor Publici din România derulează proiecte menite să dezvolte competențele digitale avansate ale funcționarilor publici, sprijinind astfel digitalizarea serviciilor publice</w:t>
      </w:r>
      <w:r>
        <w:rPr>
          <w:rStyle w:val="apple-converted-space"/>
        </w:rPr>
        <w:t xml:space="preserve">  </w:t>
      </w:r>
      <w:r>
        <w:rPr>
          <w:rStyle w:val="s2"/>
        </w:rPr>
        <w:t>.</w:t>
      </w:r>
    </w:p>
    <w:p w14:paraId="6C2D17C1" w14:textId="74BCFF85" w:rsidR="007D2735" w:rsidRDefault="007D2735" w:rsidP="00355DF6">
      <w:pPr>
        <w:pStyle w:val="p5"/>
        <w:ind w:firstLine="708"/>
        <w:jc w:val="both"/>
      </w:pPr>
      <w:r>
        <w:rPr>
          <w:rStyle w:val="s2"/>
        </w:rPr>
        <w:t xml:space="preserve">Competențele digitale nu doar că sporesc șansele de angajare, dar contribuie și la adaptabilitatea angajaților în fața schimbărilor tehnologice. Persoanele cu abilități digitale sunt </w:t>
      </w:r>
      <w:r>
        <w:rPr>
          <w:rStyle w:val="s2"/>
        </w:rPr>
        <w:lastRenderedPageBreak/>
        <w:t>mai pregătite să se adapteze la noi roluri și responsabilități, având o mai mare capacitate de a colabora în echipe virtuale și de a naviga în medii de lucru remote</w:t>
      </w:r>
      <w:r>
        <w:rPr>
          <w:rStyle w:val="apple-converted-space"/>
        </w:rPr>
        <w:t xml:space="preserve">  </w:t>
      </w:r>
      <w:r>
        <w:rPr>
          <w:rStyle w:val="s2"/>
        </w:rPr>
        <w:t>.</w:t>
      </w:r>
    </w:p>
    <w:p w14:paraId="21A44519" w14:textId="423E4A80" w:rsidR="007D2735" w:rsidRDefault="007D2735" w:rsidP="00355DF6">
      <w:pPr>
        <w:pStyle w:val="p4"/>
        <w:ind w:firstLine="708"/>
        <w:jc w:val="both"/>
      </w:pPr>
      <w:r>
        <w:rPr>
          <w:rStyle w:val="s2"/>
        </w:rPr>
        <w:t>Există încă disparități semnificative în accesul la educație digitală, în special în zonele rurale sau în rândul grupurilor vulnerabile. Proiecte precum cel al Institutului de Cercetare Făgăraș încearcă să abordeze aceste inegalități prin oferirea de cursuri gratuite de competențe digitale</w:t>
      </w:r>
      <w:r>
        <w:rPr>
          <w:rStyle w:val="apple-converted-space"/>
        </w:rPr>
        <w:t xml:space="preserve">  </w:t>
      </w:r>
      <w:r>
        <w:rPr>
          <w:rStyle w:val="s2"/>
        </w:rPr>
        <w:t>.</w:t>
      </w:r>
    </w:p>
    <w:p w14:paraId="6FBA8B20" w14:textId="4215AAB6" w:rsidR="007D2735" w:rsidRDefault="007D2735" w:rsidP="00355DF6">
      <w:pPr>
        <w:pStyle w:val="p4"/>
        <w:ind w:firstLine="708"/>
        <w:jc w:val="both"/>
      </w:pPr>
      <w:r>
        <w:rPr>
          <w:rStyle w:val="s2"/>
        </w:rPr>
        <w:t>Evoluția rapidă a tehnologiei impune o actualizare constantă a competențelor digitale. Atât angajații, cât și angajatorii trebuie să investească în formare continuă pentru a rămâne competitivi pe piața muncii.</w:t>
      </w:r>
    </w:p>
    <w:p w14:paraId="6278303A" w14:textId="77777777" w:rsidR="007D2735" w:rsidRDefault="007D2735" w:rsidP="00355DF6">
      <w:pPr>
        <w:pStyle w:val="p4"/>
        <w:ind w:firstLine="708"/>
        <w:jc w:val="both"/>
      </w:pPr>
      <w:r>
        <w:rPr>
          <w:rStyle w:val="s2"/>
        </w:rPr>
        <w:t>Competențele digitale joacă un rol crucial în promovarea incluziunii sociale și în creșterea angajabilității. Investițiile în educația digitală și în formarea profesională sunt esențiale pentru a asigura participarea activă a tuturor cetățenilor în societatea modernă și pentru a răspunde cerințelor unei piețe a muncii în continuă schimbare.</w:t>
      </w:r>
    </w:p>
    <w:p w14:paraId="37DF1D87" w14:textId="77777777" w:rsidR="007D2735" w:rsidRDefault="007D2735">
      <w:pPr>
        <w:pStyle w:val="p2"/>
      </w:pPr>
    </w:p>
    <w:p w14:paraId="70D337AC" w14:textId="77777777" w:rsidR="007D39D0" w:rsidRDefault="007D39D0">
      <w:pPr>
        <w:pStyle w:val="p3"/>
        <w:rPr>
          <w:rStyle w:val="s3"/>
        </w:rPr>
      </w:pPr>
    </w:p>
    <w:p w14:paraId="43BCC09B" w14:textId="77777777" w:rsidR="007D39D0" w:rsidRDefault="007D39D0">
      <w:pPr>
        <w:pStyle w:val="p3"/>
        <w:rPr>
          <w:rStyle w:val="s3"/>
        </w:rPr>
      </w:pPr>
    </w:p>
    <w:p w14:paraId="1901DF89" w14:textId="77777777" w:rsidR="007D39D0" w:rsidRDefault="007D39D0">
      <w:pPr>
        <w:pStyle w:val="p3"/>
        <w:rPr>
          <w:rStyle w:val="s3"/>
        </w:rPr>
      </w:pPr>
    </w:p>
    <w:p w14:paraId="49D7CAA1" w14:textId="77777777" w:rsidR="007D39D0" w:rsidRDefault="007D39D0">
      <w:pPr>
        <w:pStyle w:val="p3"/>
        <w:rPr>
          <w:rStyle w:val="s3"/>
        </w:rPr>
      </w:pPr>
    </w:p>
    <w:p w14:paraId="7384A795" w14:textId="77777777" w:rsidR="007D39D0" w:rsidRDefault="007D39D0">
      <w:pPr>
        <w:pStyle w:val="p3"/>
        <w:rPr>
          <w:rStyle w:val="s3"/>
        </w:rPr>
      </w:pPr>
    </w:p>
    <w:p w14:paraId="716EAAE6" w14:textId="77777777" w:rsidR="007D39D0" w:rsidRDefault="007D39D0">
      <w:pPr>
        <w:pStyle w:val="p3"/>
        <w:rPr>
          <w:rStyle w:val="s3"/>
        </w:rPr>
      </w:pPr>
    </w:p>
    <w:p w14:paraId="1E1354B2" w14:textId="77777777" w:rsidR="007D39D0" w:rsidRDefault="007D39D0">
      <w:pPr>
        <w:pStyle w:val="p3"/>
        <w:rPr>
          <w:rStyle w:val="s3"/>
        </w:rPr>
      </w:pPr>
    </w:p>
    <w:p w14:paraId="781D9723" w14:textId="77777777" w:rsidR="007D39D0" w:rsidRDefault="007D39D0">
      <w:pPr>
        <w:pStyle w:val="p3"/>
        <w:rPr>
          <w:rStyle w:val="s3"/>
        </w:rPr>
      </w:pPr>
    </w:p>
    <w:p w14:paraId="057C9292" w14:textId="223C131A" w:rsidR="007D2735" w:rsidRPr="007D39D0" w:rsidRDefault="007D2735">
      <w:pPr>
        <w:pStyle w:val="p3"/>
        <w:rPr>
          <w:b/>
          <w:bCs/>
        </w:rPr>
      </w:pPr>
      <w:r w:rsidRPr="007D39D0">
        <w:rPr>
          <w:rStyle w:val="s3"/>
          <w:b/>
          <w:bCs/>
        </w:rPr>
        <w:t>Bibliografie</w:t>
      </w:r>
      <w:r w:rsidR="007D39D0" w:rsidRPr="007D39D0">
        <w:rPr>
          <w:rStyle w:val="s3"/>
          <w:b/>
          <w:bCs/>
        </w:rPr>
        <w:t>:</w:t>
      </w:r>
    </w:p>
    <w:p w14:paraId="170FAC4E" w14:textId="7B143937" w:rsidR="007D2735" w:rsidRPr="007D39D0" w:rsidRDefault="007D2735" w:rsidP="002E6235">
      <w:pPr>
        <w:pStyle w:val="p6"/>
        <w:spacing w:before="0" w:beforeAutospacing="0" w:after="0" w:afterAutospacing="0"/>
        <w:jc w:val="both"/>
        <w:rPr>
          <w:i/>
          <w:iCs/>
        </w:rPr>
      </w:pPr>
      <w:r>
        <w:rPr>
          <w:rStyle w:val="s2"/>
        </w:rPr>
        <w:t>1.</w:t>
      </w:r>
      <w:r>
        <w:rPr>
          <w:rStyle w:val="apple-tab-span"/>
        </w:rPr>
        <w:t xml:space="preserve"> </w:t>
      </w:r>
      <w:r w:rsidRPr="007D39D0">
        <w:rPr>
          <w:rStyle w:val="s2"/>
          <w:i/>
          <w:iCs/>
        </w:rPr>
        <w:t xml:space="preserve">Institutul de Cercetare Făgăraș. (2023). </w:t>
      </w:r>
      <w:r w:rsidRPr="007D39D0">
        <w:rPr>
          <w:rStyle w:val="s6"/>
          <w:i/>
          <w:iCs/>
        </w:rPr>
        <w:t>Raport Incluziune Digitală</w:t>
      </w:r>
      <w:r w:rsidRPr="007D39D0">
        <w:rPr>
          <w:rStyle w:val="s2"/>
          <w:i/>
          <w:iCs/>
        </w:rPr>
        <w:t>.</w:t>
      </w:r>
      <w:r w:rsidRPr="007D39D0">
        <w:rPr>
          <w:rStyle w:val="apple-converted-space"/>
          <w:i/>
          <w:iCs/>
        </w:rPr>
        <w:t xml:space="preserve">  </w:t>
      </w:r>
    </w:p>
    <w:p w14:paraId="4F51E7D4" w14:textId="31AD1B8C" w:rsidR="007D2735" w:rsidRPr="007D39D0" w:rsidRDefault="007D2735" w:rsidP="002E6235">
      <w:pPr>
        <w:pStyle w:val="p6"/>
        <w:spacing w:before="0" w:beforeAutospacing="0" w:after="0" w:afterAutospacing="0"/>
        <w:jc w:val="both"/>
        <w:rPr>
          <w:i/>
          <w:iCs/>
        </w:rPr>
      </w:pPr>
      <w:r w:rsidRPr="007D39D0">
        <w:rPr>
          <w:rStyle w:val="s2"/>
          <w:i/>
          <w:iCs/>
        </w:rPr>
        <w:t>2.</w:t>
      </w:r>
      <w:r w:rsidRPr="007D39D0">
        <w:rPr>
          <w:rStyle w:val="apple-tab-span"/>
          <w:i/>
          <w:iCs/>
        </w:rPr>
        <w:t xml:space="preserve"> </w:t>
      </w:r>
      <w:r w:rsidRPr="007D39D0">
        <w:rPr>
          <w:rStyle w:val="s2"/>
          <w:i/>
          <w:iCs/>
        </w:rPr>
        <w:t xml:space="preserve">Ministerul Cercetării, Inovării și Digitalizării. (2024). </w:t>
      </w:r>
      <w:r w:rsidRPr="007D39D0">
        <w:rPr>
          <w:rStyle w:val="s6"/>
          <w:i/>
          <w:iCs/>
        </w:rPr>
        <w:t>Act normativ de aprobare a</w:t>
      </w:r>
      <w:r w:rsidR="007D39D0" w:rsidRPr="007D39D0">
        <w:rPr>
          <w:rStyle w:val="s6"/>
          <w:i/>
          <w:iCs/>
        </w:rPr>
        <w:t xml:space="preserve"> </w:t>
      </w:r>
      <w:proofErr w:type="spellStart"/>
      <w:r w:rsidRPr="007D39D0">
        <w:rPr>
          <w:rStyle w:val="s6"/>
          <w:i/>
          <w:iCs/>
        </w:rPr>
        <w:t>DigCompRo</w:t>
      </w:r>
      <w:proofErr w:type="spellEnd"/>
      <w:r w:rsidRPr="007D39D0">
        <w:rPr>
          <w:rStyle w:val="s2"/>
          <w:i/>
          <w:iCs/>
        </w:rPr>
        <w:t>.</w:t>
      </w:r>
    </w:p>
    <w:p w14:paraId="14379266" w14:textId="3A5A2847" w:rsidR="007D2735" w:rsidRPr="007D39D0" w:rsidRDefault="007D2735" w:rsidP="002E6235">
      <w:pPr>
        <w:pStyle w:val="p6"/>
        <w:spacing w:before="0" w:beforeAutospacing="0" w:after="0" w:afterAutospacing="0"/>
        <w:jc w:val="both"/>
        <w:rPr>
          <w:i/>
          <w:iCs/>
        </w:rPr>
      </w:pPr>
      <w:r w:rsidRPr="007D39D0">
        <w:rPr>
          <w:rStyle w:val="s2"/>
          <w:i/>
          <w:iCs/>
        </w:rPr>
        <w:t>3.</w:t>
      </w:r>
      <w:r w:rsidRPr="007D39D0">
        <w:rPr>
          <w:rStyle w:val="apple-tab-span"/>
          <w:i/>
          <w:iCs/>
        </w:rPr>
        <w:t xml:space="preserve"> </w:t>
      </w:r>
      <w:r w:rsidRPr="007D39D0">
        <w:rPr>
          <w:rStyle w:val="s2"/>
          <w:i/>
          <w:iCs/>
        </w:rPr>
        <w:t xml:space="preserve">Amfiteatru Economic. (2023). </w:t>
      </w:r>
      <w:r w:rsidRPr="007D39D0">
        <w:rPr>
          <w:rStyle w:val="s6"/>
          <w:i/>
          <w:iCs/>
        </w:rPr>
        <w:t>Digitalizarea și adecvarea competențelor ca factori determinanți ai inovării</w:t>
      </w:r>
      <w:r w:rsidRPr="007D39D0">
        <w:rPr>
          <w:rStyle w:val="s2"/>
          <w:i/>
          <w:iCs/>
        </w:rPr>
        <w:t>.</w:t>
      </w:r>
    </w:p>
    <w:p w14:paraId="32F8197D" w14:textId="46A98C1C" w:rsidR="007D2735" w:rsidRPr="007D39D0" w:rsidRDefault="007D2735" w:rsidP="002E6235">
      <w:pPr>
        <w:pStyle w:val="p6"/>
        <w:spacing w:before="0" w:beforeAutospacing="0" w:after="0" w:afterAutospacing="0"/>
        <w:jc w:val="both"/>
        <w:rPr>
          <w:i/>
          <w:iCs/>
        </w:rPr>
      </w:pPr>
      <w:r w:rsidRPr="007D39D0">
        <w:rPr>
          <w:rStyle w:val="s2"/>
          <w:i/>
          <w:iCs/>
        </w:rPr>
        <w:t>4.</w:t>
      </w:r>
      <w:r w:rsidRPr="007D39D0">
        <w:rPr>
          <w:rStyle w:val="apple-tab-span"/>
          <w:i/>
          <w:iCs/>
        </w:rPr>
        <w:t xml:space="preserve"> </w:t>
      </w:r>
      <w:r w:rsidRPr="007D39D0">
        <w:rPr>
          <w:rStyle w:val="s2"/>
          <w:i/>
          <w:iCs/>
        </w:rPr>
        <w:t xml:space="preserve">Brașovul Meu. (2024). </w:t>
      </w:r>
      <w:r w:rsidRPr="007D39D0">
        <w:rPr>
          <w:rStyle w:val="s6"/>
          <w:i/>
          <w:iCs/>
        </w:rPr>
        <w:t>Impactul competențelor digitale asupra carierei: Cum să îți crești șansele de angajare</w:t>
      </w:r>
      <w:r w:rsidRPr="007D39D0">
        <w:rPr>
          <w:rStyle w:val="s2"/>
          <w:i/>
          <w:iCs/>
        </w:rPr>
        <w:t>.</w:t>
      </w:r>
    </w:p>
    <w:p w14:paraId="4B009AAB" w14:textId="6108153F" w:rsidR="007D2735" w:rsidRPr="007D39D0" w:rsidRDefault="007D2735" w:rsidP="002E6235">
      <w:pPr>
        <w:pStyle w:val="p6"/>
        <w:spacing w:before="0" w:beforeAutospacing="0" w:after="0" w:afterAutospacing="0"/>
        <w:jc w:val="both"/>
        <w:rPr>
          <w:i/>
          <w:iCs/>
        </w:rPr>
      </w:pPr>
      <w:r w:rsidRPr="007D39D0">
        <w:rPr>
          <w:rStyle w:val="s2"/>
          <w:i/>
          <w:iCs/>
        </w:rPr>
        <w:t>5.</w:t>
      </w:r>
      <w:r w:rsidRPr="007D39D0">
        <w:rPr>
          <w:rStyle w:val="apple-tab-span"/>
          <w:i/>
          <w:iCs/>
        </w:rPr>
        <w:t xml:space="preserve"> </w:t>
      </w:r>
      <w:r w:rsidRPr="007D39D0">
        <w:rPr>
          <w:rStyle w:val="s2"/>
          <w:i/>
          <w:iCs/>
        </w:rPr>
        <w:t xml:space="preserve">Agenția Națională a Funcționarilor Publici. (2024). </w:t>
      </w:r>
      <w:r w:rsidRPr="007D39D0">
        <w:rPr>
          <w:rStyle w:val="s6"/>
          <w:i/>
          <w:iCs/>
        </w:rPr>
        <w:t>Dezvoltarea competențelor digitale</w:t>
      </w:r>
      <w:r w:rsidRPr="007D39D0">
        <w:rPr>
          <w:rStyle w:val="s2"/>
          <w:i/>
          <w:iCs/>
        </w:rPr>
        <w:t>.</w:t>
      </w:r>
    </w:p>
    <w:sectPr w:rsidR="007D2735" w:rsidRPr="007D3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35"/>
    <w:rsid w:val="0018415D"/>
    <w:rsid w:val="00202C9A"/>
    <w:rsid w:val="002E6235"/>
    <w:rsid w:val="00355DF6"/>
    <w:rsid w:val="003C2E8D"/>
    <w:rsid w:val="00630672"/>
    <w:rsid w:val="007D2735"/>
    <w:rsid w:val="007D39D0"/>
    <w:rsid w:val="00B86452"/>
    <w:rsid w:val="00D03A00"/>
    <w:rsid w:val="00E712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26AD555F"/>
  <w15:chartTrackingRefBased/>
  <w15:docId w15:val="{D55D91F5-C55B-F24E-AC3D-9D04BFBC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D2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D2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D273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D273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D273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D273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D273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D273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D273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273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D273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D273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D273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D273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D273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D273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D273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D2735"/>
    <w:rPr>
      <w:rFonts w:eastAsiaTheme="majorEastAsia" w:cstheme="majorBidi"/>
      <w:color w:val="272727" w:themeColor="text1" w:themeTint="D8"/>
    </w:rPr>
  </w:style>
  <w:style w:type="paragraph" w:styleId="Titlu">
    <w:name w:val="Title"/>
    <w:basedOn w:val="Normal"/>
    <w:next w:val="Normal"/>
    <w:link w:val="TitluCaracter"/>
    <w:uiPriority w:val="10"/>
    <w:qFormat/>
    <w:rsid w:val="007D2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D273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273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D273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273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D2735"/>
    <w:rPr>
      <w:i/>
      <w:iCs/>
      <w:color w:val="404040" w:themeColor="text1" w:themeTint="BF"/>
    </w:rPr>
  </w:style>
  <w:style w:type="paragraph" w:styleId="Listparagraf">
    <w:name w:val="List Paragraph"/>
    <w:basedOn w:val="Normal"/>
    <w:uiPriority w:val="34"/>
    <w:qFormat/>
    <w:rsid w:val="007D2735"/>
    <w:pPr>
      <w:ind w:left="720"/>
      <w:contextualSpacing/>
    </w:pPr>
  </w:style>
  <w:style w:type="character" w:styleId="Accentuareintens">
    <w:name w:val="Intense Emphasis"/>
    <w:basedOn w:val="Fontdeparagrafimplicit"/>
    <w:uiPriority w:val="21"/>
    <w:qFormat/>
    <w:rsid w:val="007D2735"/>
    <w:rPr>
      <w:i/>
      <w:iCs/>
      <w:color w:val="2F5496" w:themeColor="accent1" w:themeShade="BF"/>
    </w:rPr>
  </w:style>
  <w:style w:type="paragraph" w:styleId="Citatintens">
    <w:name w:val="Intense Quote"/>
    <w:basedOn w:val="Normal"/>
    <w:next w:val="Normal"/>
    <w:link w:val="CitatintensCaracter"/>
    <w:uiPriority w:val="30"/>
    <w:qFormat/>
    <w:rsid w:val="007D2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D2735"/>
    <w:rPr>
      <w:i/>
      <w:iCs/>
      <w:color w:val="2F5496" w:themeColor="accent1" w:themeShade="BF"/>
    </w:rPr>
  </w:style>
  <w:style w:type="character" w:styleId="Referireintens">
    <w:name w:val="Intense Reference"/>
    <w:basedOn w:val="Fontdeparagrafimplicit"/>
    <w:uiPriority w:val="32"/>
    <w:qFormat/>
    <w:rsid w:val="007D2735"/>
    <w:rPr>
      <w:b/>
      <w:bCs/>
      <w:smallCaps/>
      <w:color w:val="2F5496" w:themeColor="accent1" w:themeShade="BF"/>
      <w:spacing w:val="5"/>
    </w:rPr>
  </w:style>
  <w:style w:type="paragraph" w:customStyle="1" w:styleId="p1">
    <w:name w:val="p1"/>
    <w:basedOn w:val="Normal"/>
    <w:rsid w:val="007D273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ontdeparagrafimplicit"/>
    <w:rsid w:val="007D2735"/>
  </w:style>
  <w:style w:type="paragraph" w:customStyle="1" w:styleId="p2">
    <w:name w:val="p2"/>
    <w:basedOn w:val="Normal"/>
    <w:rsid w:val="007D273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ontdeparagrafimplicit"/>
    <w:rsid w:val="007D2735"/>
  </w:style>
  <w:style w:type="paragraph" w:customStyle="1" w:styleId="p3">
    <w:name w:val="p3"/>
    <w:basedOn w:val="Normal"/>
    <w:rsid w:val="007D2735"/>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ontdeparagrafimplicit"/>
    <w:rsid w:val="007D2735"/>
  </w:style>
  <w:style w:type="paragraph" w:customStyle="1" w:styleId="p4">
    <w:name w:val="p4"/>
    <w:basedOn w:val="Normal"/>
    <w:rsid w:val="007D2735"/>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7D2735"/>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Fontdeparagrafimplicit"/>
    <w:rsid w:val="007D2735"/>
  </w:style>
  <w:style w:type="character" w:customStyle="1" w:styleId="apple-converted-space">
    <w:name w:val="apple-converted-space"/>
    <w:basedOn w:val="Fontdeparagrafimplicit"/>
    <w:rsid w:val="007D2735"/>
  </w:style>
  <w:style w:type="paragraph" w:customStyle="1" w:styleId="p6">
    <w:name w:val="p6"/>
    <w:basedOn w:val="Normal"/>
    <w:rsid w:val="007D2735"/>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Fontdeparagrafimplicit"/>
    <w:rsid w:val="007D2735"/>
  </w:style>
  <w:style w:type="character" w:customStyle="1" w:styleId="s6">
    <w:name w:val="s6"/>
    <w:basedOn w:val="Fontdeparagrafimplicit"/>
    <w:rsid w:val="007D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3820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roberta.filip03@gmail.com</dc:creator>
  <cp:keywords/>
  <dc:description/>
  <cp:lastModifiedBy>roberta.filip03@gmail.com</cp:lastModifiedBy>
  <cp:revision>2</cp:revision>
  <dcterms:created xsi:type="dcterms:W3CDTF">2025-02-19T18:59:00Z</dcterms:created>
  <dcterms:modified xsi:type="dcterms:W3CDTF">2025-02-19T18:59:00Z</dcterms:modified>
</cp:coreProperties>
</file>